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92C77" w14:textId="77777777" w:rsidR="00A2638A" w:rsidRPr="00A2638A" w:rsidRDefault="00A2638A" w:rsidP="00A2638A">
      <w:pPr>
        <w:snapToGrid w:val="0"/>
        <w:jc w:val="center"/>
        <w:rPr>
          <w:rFonts w:ascii="Times New Roman" w:hAnsi="Times New Roman" w:cs="Times New Roman"/>
          <w:b/>
          <w:bCs/>
          <w:sz w:val="24"/>
          <w:szCs w:val="28"/>
        </w:rPr>
      </w:pPr>
      <w:r w:rsidRPr="00A2638A">
        <w:rPr>
          <w:rFonts w:ascii="Times New Roman" w:hAnsi="Times New Roman" w:cs="Times New Roman"/>
          <w:b/>
          <w:bCs/>
          <w:sz w:val="24"/>
          <w:szCs w:val="28"/>
        </w:rPr>
        <w:t>The Judicial Centralization Reform Dataset Codebook</w:t>
      </w:r>
    </w:p>
    <w:p w14:paraId="333B9FAE" w14:textId="77777777" w:rsidR="00A2638A" w:rsidRPr="00A2638A" w:rsidRDefault="00A2638A" w:rsidP="00A2638A">
      <w:pPr>
        <w:snapToGrid w:val="0"/>
        <w:jc w:val="center"/>
        <w:rPr>
          <w:rFonts w:ascii="Times New Roman" w:hAnsi="Times New Roman" w:cs="Times New Roman"/>
          <w:sz w:val="24"/>
          <w:szCs w:val="28"/>
        </w:rPr>
      </w:pPr>
    </w:p>
    <w:p w14:paraId="1169B6DF" w14:textId="2664F5FF" w:rsidR="00A2638A" w:rsidRPr="00A2638A" w:rsidRDefault="00A2638A" w:rsidP="00A2638A">
      <w:pPr>
        <w:snapToGrid w:val="0"/>
        <w:jc w:val="center"/>
        <w:rPr>
          <w:rFonts w:ascii="Times New Roman" w:hAnsi="Times New Roman" w:cs="Times New Roman"/>
          <w:sz w:val="24"/>
          <w:szCs w:val="28"/>
        </w:rPr>
      </w:pPr>
      <w:r w:rsidRPr="00A2638A">
        <w:rPr>
          <w:rFonts w:ascii="Times New Roman" w:hAnsi="Times New Roman" w:cs="Times New Roman"/>
          <w:sz w:val="24"/>
          <w:szCs w:val="28"/>
        </w:rPr>
        <w:t>Version: 12/27/2025</w:t>
      </w:r>
    </w:p>
    <w:p w14:paraId="19481E1C" w14:textId="04E50F19" w:rsidR="00A2638A" w:rsidRPr="00A2638A" w:rsidRDefault="00A2638A" w:rsidP="00A2638A">
      <w:pPr>
        <w:snapToGrid w:val="0"/>
        <w:rPr>
          <w:rFonts w:ascii="Times New Roman" w:hAnsi="Times New Roman" w:cs="Times New Roman"/>
          <w:b/>
          <w:bCs/>
          <w:sz w:val="24"/>
          <w:szCs w:val="28"/>
        </w:rPr>
      </w:pPr>
    </w:p>
    <w:p w14:paraId="0A75855C" w14:textId="77777777" w:rsidR="000F6763" w:rsidRDefault="000F6763" w:rsidP="000F6763">
      <w:pPr>
        <w:snapToGrid w:val="0"/>
        <w:rPr>
          <w:rFonts w:ascii="Times New Roman" w:hAnsi="Times New Roman" w:cs="Times New Roman"/>
          <w:sz w:val="24"/>
          <w:szCs w:val="24"/>
        </w:rPr>
      </w:pPr>
      <w:r w:rsidRPr="000F6763">
        <w:rPr>
          <w:rFonts w:ascii="Times New Roman" w:hAnsi="Times New Roman" w:cs="Times New Roman"/>
          <w:b/>
          <w:bCs/>
          <w:sz w:val="24"/>
          <w:szCs w:val="24"/>
        </w:rPr>
        <w:t>Methodology.</w:t>
      </w:r>
      <w:r w:rsidRPr="000F6763">
        <w:rPr>
          <w:rFonts w:ascii="Times New Roman" w:hAnsi="Times New Roman" w:cs="Times New Roman"/>
          <w:sz w:val="24"/>
          <w:szCs w:val="24"/>
        </w:rPr>
        <w:t xml:space="preserve"> This dataset codes the staggered judicial centralization reform in China by comparing a prefectural government’s fiscal expenditure on courts in year </w:t>
      </w:r>
      <w:r w:rsidRPr="000F6763">
        <w:rPr>
          <w:rFonts w:ascii="Times New Roman" w:hAnsi="Times New Roman" w:cs="Times New Roman"/>
          <w:i/>
          <w:iCs/>
          <w:sz w:val="24"/>
          <w:szCs w:val="24"/>
        </w:rPr>
        <w:t>t</w:t>
      </w:r>
      <w:r w:rsidRPr="000F6763">
        <w:rPr>
          <w:rFonts w:ascii="Times New Roman" w:hAnsi="Times New Roman" w:cs="Times New Roman"/>
          <w:sz w:val="24"/>
          <w:szCs w:val="24"/>
        </w:rPr>
        <w:t xml:space="preserve"> to a baseline year. The baseline is defined as either (1) the year in which the province formally initiated the reform, or (2) the year in which the Intermediate People’s Court’s budget began to be reported under the provincial government’s fiscal accounts, when prefectural-level court expenditures cannot be separately identified. The latter situation is more common in earlier years, when some local governments declined to report fiscal data in itemized categories.</w:t>
      </w:r>
    </w:p>
    <w:p w14:paraId="66A00218" w14:textId="77777777" w:rsidR="000F6763" w:rsidRPr="000F6763" w:rsidRDefault="000F6763" w:rsidP="000F6763">
      <w:pPr>
        <w:snapToGrid w:val="0"/>
        <w:rPr>
          <w:rFonts w:ascii="Times New Roman" w:hAnsi="Times New Roman" w:cs="Times New Roman" w:hint="eastAsia"/>
          <w:sz w:val="24"/>
          <w:szCs w:val="24"/>
        </w:rPr>
      </w:pPr>
    </w:p>
    <w:p w14:paraId="5989D1A5" w14:textId="77777777" w:rsidR="000F6763" w:rsidRDefault="000F6763" w:rsidP="000F6763">
      <w:pPr>
        <w:snapToGrid w:val="0"/>
        <w:rPr>
          <w:rFonts w:ascii="Times New Roman" w:hAnsi="Times New Roman" w:cs="Times New Roman"/>
          <w:sz w:val="24"/>
          <w:szCs w:val="24"/>
        </w:rPr>
      </w:pPr>
      <w:r w:rsidRPr="000F6763">
        <w:rPr>
          <w:rFonts w:ascii="Times New Roman" w:hAnsi="Times New Roman" w:cs="Times New Roman"/>
          <w:sz w:val="24"/>
          <w:szCs w:val="24"/>
        </w:rPr>
        <w:t xml:space="preserve">The timing of each province’s reform is determined by the central government (see Lei and Li 2025, Online Appendix A). We construct a series of variables labeled </w:t>
      </w:r>
      <w:proofErr w:type="spellStart"/>
      <w:r w:rsidRPr="000F6763">
        <w:rPr>
          <w:rFonts w:ascii="Times New Roman" w:hAnsi="Times New Roman" w:cs="Times New Roman"/>
          <w:i/>
          <w:iCs/>
          <w:sz w:val="24"/>
          <w:szCs w:val="24"/>
        </w:rPr>
        <w:t>reform_x_year</w:t>
      </w:r>
      <w:proofErr w:type="spellEnd"/>
      <w:r w:rsidRPr="000F6763">
        <w:rPr>
          <w:rFonts w:ascii="Times New Roman" w:hAnsi="Times New Roman" w:cs="Times New Roman"/>
          <w:sz w:val="24"/>
          <w:szCs w:val="24"/>
        </w:rPr>
        <w:t xml:space="preserve"> (where </w:t>
      </w:r>
      <w:r w:rsidRPr="000F6763">
        <w:rPr>
          <w:rFonts w:ascii="Times New Roman" w:hAnsi="Times New Roman" w:cs="Times New Roman"/>
          <w:i/>
          <w:iCs/>
          <w:sz w:val="24"/>
          <w:szCs w:val="24"/>
        </w:rPr>
        <w:t>x</w:t>
      </w:r>
      <w:r w:rsidRPr="000F6763">
        <w:rPr>
          <w:rFonts w:ascii="Times New Roman" w:hAnsi="Times New Roman" w:cs="Times New Roman"/>
          <w:sz w:val="24"/>
          <w:szCs w:val="24"/>
        </w:rPr>
        <w:t xml:space="preserve"> </w:t>
      </w:r>
      <w:r w:rsidRPr="000F6763">
        <w:rPr>
          <w:rFonts w:ascii="Cambria Math" w:hAnsi="Cambria Math" w:cs="Cambria Math"/>
          <w:sz w:val="24"/>
          <w:szCs w:val="24"/>
        </w:rPr>
        <w:t>∈</w:t>
      </w:r>
      <w:r w:rsidRPr="000F6763">
        <w:rPr>
          <w:rFonts w:ascii="Times New Roman" w:hAnsi="Times New Roman" w:cs="Times New Roman"/>
          <w:sz w:val="24"/>
          <w:szCs w:val="24"/>
        </w:rPr>
        <w:t xml:space="preserve"> {0, 10, 20, 30, 40, 50, 60, 70, 80, 90, 100}), which record the first year in which a prefectural government’s fiscal expenditure on courts falls to </w:t>
      </w:r>
      <w:r w:rsidRPr="000F6763">
        <w:rPr>
          <w:rFonts w:ascii="Times New Roman" w:hAnsi="Times New Roman" w:cs="Times New Roman"/>
          <w:i/>
          <w:iCs/>
          <w:sz w:val="24"/>
          <w:szCs w:val="24"/>
        </w:rPr>
        <w:t>x</w:t>
      </w:r>
      <w:r w:rsidRPr="000F6763">
        <w:rPr>
          <w:rFonts w:ascii="Times New Roman" w:hAnsi="Times New Roman" w:cs="Times New Roman"/>
          <w:sz w:val="24"/>
          <w:szCs w:val="24"/>
        </w:rPr>
        <w:t xml:space="preserve"> percent of its baseline level, or in which the court’s budget is fully incorporated into the provincial government’s fiscal report. A value of 9999 indicates that the prefecture had not reached the corresponding threshold by the end of 2019. Missing values are coded as “.” rather than 9999.</w:t>
      </w:r>
    </w:p>
    <w:p w14:paraId="158D6B54" w14:textId="77777777" w:rsidR="000F6763" w:rsidRPr="000F6763" w:rsidRDefault="000F6763" w:rsidP="000F6763">
      <w:pPr>
        <w:snapToGrid w:val="0"/>
        <w:rPr>
          <w:rFonts w:ascii="Times New Roman" w:hAnsi="Times New Roman" w:cs="Times New Roman"/>
          <w:sz w:val="24"/>
          <w:szCs w:val="24"/>
        </w:rPr>
      </w:pPr>
    </w:p>
    <w:p w14:paraId="173C7BC3" w14:textId="77777777" w:rsidR="000F6763" w:rsidRDefault="000F6763" w:rsidP="000F6763">
      <w:pPr>
        <w:snapToGrid w:val="0"/>
        <w:rPr>
          <w:rFonts w:ascii="Times New Roman" w:hAnsi="Times New Roman" w:cs="Times New Roman"/>
          <w:sz w:val="24"/>
          <w:szCs w:val="24"/>
        </w:rPr>
      </w:pPr>
      <w:r w:rsidRPr="000F6763">
        <w:rPr>
          <w:rFonts w:ascii="Times New Roman" w:hAnsi="Times New Roman" w:cs="Times New Roman"/>
          <w:sz w:val="24"/>
          <w:szCs w:val="24"/>
        </w:rPr>
        <w:t xml:space="preserve">Among these measures, </w:t>
      </w:r>
      <w:r w:rsidRPr="000F6763">
        <w:rPr>
          <w:rFonts w:ascii="Times New Roman" w:hAnsi="Times New Roman" w:cs="Times New Roman"/>
          <w:i/>
          <w:iCs/>
          <w:sz w:val="24"/>
          <w:szCs w:val="24"/>
        </w:rPr>
        <w:t>reform_0_year</w:t>
      </w:r>
      <w:r w:rsidRPr="000F6763">
        <w:rPr>
          <w:rFonts w:ascii="Times New Roman" w:hAnsi="Times New Roman" w:cs="Times New Roman"/>
          <w:sz w:val="24"/>
          <w:szCs w:val="24"/>
        </w:rPr>
        <w:t xml:space="preserve"> represents the most stringent definition of judicial centralization, requiring that prefectural spending on courts be reduced to zero or that the court budget be fully transferred to the provincial level. In Lei and Li (2025), the preferred measure is </w:t>
      </w:r>
      <w:r w:rsidRPr="000F6763">
        <w:rPr>
          <w:rFonts w:ascii="Times New Roman" w:hAnsi="Times New Roman" w:cs="Times New Roman"/>
          <w:i/>
          <w:iCs/>
          <w:sz w:val="24"/>
          <w:szCs w:val="24"/>
        </w:rPr>
        <w:t>reform_50_year</w:t>
      </w:r>
      <w:r w:rsidRPr="000F6763">
        <w:rPr>
          <w:rFonts w:ascii="Times New Roman" w:hAnsi="Times New Roman" w:cs="Times New Roman"/>
          <w:sz w:val="24"/>
          <w:szCs w:val="24"/>
        </w:rPr>
        <w:t>, which captures the first year in which prefectural spending on courts declines to 50 percent or less of the baseline level. Using this threshold, the authors find that judicial recentralization substantially weakens local protectionism, reducing the winning rate of local litigants by 33.3 percentage points.</w:t>
      </w:r>
    </w:p>
    <w:p w14:paraId="5FDB4BF1" w14:textId="77777777" w:rsidR="000F6763" w:rsidRPr="000F6763" w:rsidRDefault="000F6763" w:rsidP="000F6763">
      <w:pPr>
        <w:snapToGrid w:val="0"/>
        <w:rPr>
          <w:rFonts w:ascii="Times New Roman" w:hAnsi="Times New Roman" w:cs="Times New Roman"/>
          <w:sz w:val="24"/>
          <w:szCs w:val="24"/>
        </w:rPr>
      </w:pPr>
    </w:p>
    <w:p w14:paraId="0664B2FF" w14:textId="77777777" w:rsidR="000F6763" w:rsidRPr="000F6763" w:rsidRDefault="000F6763" w:rsidP="000F6763">
      <w:pPr>
        <w:snapToGrid w:val="0"/>
        <w:rPr>
          <w:rFonts w:ascii="Times New Roman" w:hAnsi="Times New Roman" w:cs="Times New Roman"/>
          <w:sz w:val="24"/>
          <w:szCs w:val="24"/>
        </w:rPr>
      </w:pPr>
      <w:r w:rsidRPr="000F6763">
        <w:rPr>
          <w:rFonts w:ascii="Times New Roman" w:hAnsi="Times New Roman" w:cs="Times New Roman"/>
          <w:sz w:val="24"/>
          <w:szCs w:val="24"/>
        </w:rPr>
        <w:t>For a more detailed discussion of the coding strategy and its limitations, please refer to Lei and Li (2025).</w:t>
      </w:r>
    </w:p>
    <w:p w14:paraId="36E62D40" w14:textId="77777777" w:rsidR="00A2638A" w:rsidRPr="000F6763" w:rsidRDefault="00A2638A" w:rsidP="00A2638A">
      <w:pPr>
        <w:snapToGrid w:val="0"/>
        <w:rPr>
          <w:rFonts w:ascii="Times New Roman" w:hAnsi="Times New Roman" w:cs="Times New Roman"/>
          <w:sz w:val="24"/>
          <w:szCs w:val="24"/>
        </w:rPr>
      </w:pPr>
    </w:p>
    <w:p w14:paraId="703450DC" w14:textId="77777777" w:rsidR="00397C6F" w:rsidRPr="00EA40DE" w:rsidRDefault="00397C6F" w:rsidP="00A2638A">
      <w:pPr>
        <w:snapToGrid w:val="0"/>
        <w:rPr>
          <w:rFonts w:ascii="Times New Roman" w:hAnsi="Times New Roman" w:cs="Times New Roman"/>
          <w:b/>
          <w:bCs/>
          <w:sz w:val="24"/>
          <w:szCs w:val="24"/>
        </w:rPr>
      </w:pPr>
    </w:p>
    <w:p w14:paraId="5BD021DC" w14:textId="0A522A89" w:rsidR="00A2638A" w:rsidRPr="00EA40DE" w:rsidRDefault="00A2638A" w:rsidP="00A2638A">
      <w:pPr>
        <w:snapToGrid w:val="0"/>
        <w:rPr>
          <w:rFonts w:ascii="Times New Roman" w:hAnsi="Times New Roman" w:cs="Times New Roman"/>
          <w:sz w:val="24"/>
          <w:szCs w:val="24"/>
        </w:rPr>
      </w:pPr>
      <w:r w:rsidRPr="00EA40DE">
        <w:rPr>
          <w:rFonts w:ascii="Times New Roman" w:hAnsi="Times New Roman" w:cs="Times New Roman"/>
          <w:b/>
          <w:bCs/>
          <w:sz w:val="24"/>
          <w:szCs w:val="24"/>
        </w:rPr>
        <w:t>Citation</w:t>
      </w:r>
      <w:r w:rsidRPr="00EA40DE">
        <w:rPr>
          <w:rFonts w:ascii="Times New Roman" w:hAnsi="Times New Roman" w:cs="Times New Roman"/>
          <w:sz w:val="24"/>
          <w:szCs w:val="24"/>
        </w:rPr>
        <w:t xml:space="preserve">: </w:t>
      </w:r>
      <w:r w:rsidR="00933928" w:rsidRPr="00933928">
        <w:rPr>
          <w:rFonts w:ascii="Times New Roman" w:hAnsi="Times New Roman" w:cs="Times New Roman" w:hint="eastAsia"/>
          <w:sz w:val="24"/>
          <w:szCs w:val="24"/>
        </w:rPr>
        <w:t xml:space="preserve">Lei, Zhenhuan, and </w:t>
      </w:r>
      <w:proofErr w:type="spellStart"/>
      <w:r w:rsidR="00933928" w:rsidRPr="00933928">
        <w:rPr>
          <w:rFonts w:ascii="Times New Roman" w:hAnsi="Times New Roman" w:cs="Times New Roman" w:hint="eastAsia"/>
          <w:sz w:val="24"/>
          <w:szCs w:val="24"/>
        </w:rPr>
        <w:t>Yishuang</w:t>
      </w:r>
      <w:proofErr w:type="spellEnd"/>
      <w:r w:rsidR="00933928" w:rsidRPr="00933928">
        <w:rPr>
          <w:rFonts w:ascii="Times New Roman" w:hAnsi="Times New Roman" w:cs="Times New Roman" w:hint="eastAsia"/>
          <w:sz w:val="24"/>
          <w:szCs w:val="24"/>
        </w:rPr>
        <w:t xml:space="preserve"> Li. 2025. "Making Local Courts Work: The Judicial Recentralization Reform and Local Protectionism in China." </w:t>
      </w:r>
      <w:r w:rsidR="00933928" w:rsidRPr="00933928">
        <w:rPr>
          <w:rFonts w:ascii="Times New Roman" w:hAnsi="Times New Roman" w:cs="Times New Roman" w:hint="eastAsia"/>
          <w:i/>
          <w:iCs/>
          <w:sz w:val="24"/>
          <w:szCs w:val="24"/>
        </w:rPr>
        <w:t>The Journal of Politics</w:t>
      </w:r>
      <w:r w:rsidR="00933928" w:rsidRPr="00933928">
        <w:rPr>
          <w:rFonts w:ascii="Times New Roman" w:hAnsi="Times New Roman" w:cs="Times New Roman" w:hint="eastAsia"/>
          <w:sz w:val="24"/>
          <w:szCs w:val="24"/>
        </w:rPr>
        <w:t>, 87(4): 1573-1586.</w:t>
      </w:r>
    </w:p>
    <w:p w14:paraId="2CEE8F56" w14:textId="77777777" w:rsidR="00A2638A" w:rsidRDefault="00A2638A">
      <w:pPr>
        <w:rPr>
          <w:rFonts w:ascii="Times New Roman" w:hAnsi="Times New Roman" w:cs="Times New Roman"/>
        </w:rPr>
      </w:pPr>
    </w:p>
    <w:p w14:paraId="58767F8E" w14:textId="77777777" w:rsidR="00A2638A" w:rsidRDefault="00A2638A">
      <w:pPr>
        <w:rPr>
          <w:rFonts w:ascii="Times New Roman" w:hAnsi="Times New Roman" w:cs="Times New Roman"/>
        </w:rPr>
      </w:pPr>
    </w:p>
    <w:p w14:paraId="3D54CBCF" w14:textId="77777777" w:rsidR="00A2638A" w:rsidRDefault="00A2638A">
      <w:pPr>
        <w:rPr>
          <w:rFonts w:ascii="Times New Roman" w:hAnsi="Times New Roman" w:cs="Times New Roman"/>
        </w:rPr>
      </w:pPr>
    </w:p>
    <w:sectPr w:rsidR="00A263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47122" w14:textId="77777777" w:rsidR="00DE697E" w:rsidRDefault="00DE697E" w:rsidP="003A24D7">
      <w:pPr>
        <w:rPr>
          <w:rFonts w:hint="eastAsia"/>
        </w:rPr>
      </w:pPr>
      <w:r>
        <w:separator/>
      </w:r>
    </w:p>
  </w:endnote>
  <w:endnote w:type="continuationSeparator" w:id="0">
    <w:p w14:paraId="3E443B58" w14:textId="77777777" w:rsidR="00DE697E" w:rsidRDefault="00DE697E" w:rsidP="003A24D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正文 CS 字体)">
    <w:altName w:val="宋体"/>
    <w:charset w:val="86"/>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C2A58" w14:textId="77777777" w:rsidR="00DE697E" w:rsidRDefault="00DE697E" w:rsidP="003A24D7">
      <w:pPr>
        <w:rPr>
          <w:rFonts w:hint="eastAsia"/>
        </w:rPr>
      </w:pPr>
      <w:r>
        <w:separator/>
      </w:r>
    </w:p>
  </w:footnote>
  <w:footnote w:type="continuationSeparator" w:id="0">
    <w:p w14:paraId="2471D5AC" w14:textId="77777777" w:rsidR="00DE697E" w:rsidRDefault="00DE697E" w:rsidP="003A24D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38A"/>
    <w:rsid w:val="000F6763"/>
    <w:rsid w:val="001E7FCC"/>
    <w:rsid w:val="00397C6F"/>
    <w:rsid w:val="003A24D7"/>
    <w:rsid w:val="00933928"/>
    <w:rsid w:val="00A2638A"/>
    <w:rsid w:val="00B02821"/>
    <w:rsid w:val="00BF4827"/>
    <w:rsid w:val="00C44A27"/>
    <w:rsid w:val="00DE697E"/>
    <w:rsid w:val="00EA40DE"/>
    <w:rsid w:val="00FF0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C9ED6F"/>
  <w15:chartTrackingRefBased/>
  <w15:docId w15:val="{DA7F2402-0A0A-914D-9821-DE588F5B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638A"/>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A2638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A2638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2638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A2638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2638A"/>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A2638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2638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2638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2638A"/>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qFormat/>
    <w:rsid w:val="00C44A27"/>
    <w:pPr>
      <w:snapToGrid w:val="0"/>
    </w:pPr>
    <w:rPr>
      <w:rFonts w:ascii="Times New Roman" w:eastAsia="宋体" w:hAnsi="Times New Roman" w:cs="Times New Roman (正文 CS 字体)"/>
      <w:sz w:val="18"/>
      <w:szCs w:val="18"/>
    </w:rPr>
  </w:style>
  <w:style w:type="character" w:customStyle="1" w:styleId="a4">
    <w:name w:val="脚注文本 字符"/>
    <w:basedOn w:val="a0"/>
    <w:link w:val="a3"/>
    <w:uiPriority w:val="99"/>
    <w:semiHidden/>
    <w:rsid w:val="00C44A27"/>
    <w:rPr>
      <w:rFonts w:ascii="Times New Roman" w:eastAsia="宋体" w:hAnsi="Times New Roman" w:cs="Times New Roman (正文 CS 字体)"/>
      <w:sz w:val="18"/>
      <w:szCs w:val="18"/>
    </w:rPr>
  </w:style>
  <w:style w:type="character" w:styleId="a5">
    <w:name w:val="footnote reference"/>
    <w:basedOn w:val="a0"/>
    <w:uiPriority w:val="99"/>
    <w:unhideWhenUsed/>
    <w:qFormat/>
    <w:rsid w:val="00C44A27"/>
    <w:rPr>
      <w:rFonts w:ascii="Times New Roman" w:eastAsia="宋体" w:hAnsi="Times New Roman"/>
      <w:sz w:val="18"/>
      <w:vertAlign w:val="superscript"/>
    </w:rPr>
  </w:style>
  <w:style w:type="character" w:customStyle="1" w:styleId="10">
    <w:name w:val="标题 1 字符"/>
    <w:basedOn w:val="a0"/>
    <w:link w:val="1"/>
    <w:uiPriority w:val="9"/>
    <w:rsid w:val="00A2638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A2638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2638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2638A"/>
    <w:rPr>
      <w:rFonts w:cstheme="majorBidi"/>
      <w:color w:val="0F4761" w:themeColor="accent1" w:themeShade="BF"/>
      <w:sz w:val="28"/>
      <w:szCs w:val="28"/>
    </w:rPr>
  </w:style>
  <w:style w:type="character" w:customStyle="1" w:styleId="50">
    <w:name w:val="标题 5 字符"/>
    <w:basedOn w:val="a0"/>
    <w:link w:val="5"/>
    <w:uiPriority w:val="9"/>
    <w:semiHidden/>
    <w:rsid w:val="00A2638A"/>
    <w:rPr>
      <w:rFonts w:cstheme="majorBidi"/>
      <w:color w:val="0F4761" w:themeColor="accent1" w:themeShade="BF"/>
      <w:sz w:val="24"/>
    </w:rPr>
  </w:style>
  <w:style w:type="character" w:customStyle="1" w:styleId="60">
    <w:name w:val="标题 6 字符"/>
    <w:basedOn w:val="a0"/>
    <w:link w:val="6"/>
    <w:uiPriority w:val="9"/>
    <w:semiHidden/>
    <w:rsid w:val="00A2638A"/>
    <w:rPr>
      <w:rFonts w:cstheme="majorBidi"/>
      <w:b/>
      <w:bCs/>
      <w:color w:val="0F4761" w:themeColor="accent1" w:themeShade="BF"/>
    </w:rPr>
  </w:style>
  <w:style w:type="character" w:customStyle="1" w:styleId="70">
    <w:name w:val="标题 7 字符"/>
    <w:basedOn w:val="a0"/>
    <w:link w:val="7"/>
    <w:uiPriority w:val="9"/>
    <w:semiHidden/>
    <w:rsid w:val="00A2638A"/>
    <w:rPr>
      <w:rFonts w:cstheme="majorBidi"/>
      <w:b/>
      <w:bCs/>
      <w:color w:val="595959" w:themeColor="text1" w:themeTint="A6"/>
    </w:rPr>
  </w:style>
  <w:style w:type="character" w:customStyle="1" w:styleId="80">
    <w:name w:val="标题 8 字符"/>
    <w:basedOn w:val="a0"/>
    <w:link w:val="8"/>
    <w:uiPriority w:val="9"/>
    <w:semiHidden/>
    <w:rsid w:val="00A2638A"/>
    <w:rPr>
      <w:rFonts w:cstheme="majorBidi"/>
      <w:color w:val="595959" w:themeColor="text1" w:themeTint="A6"/>
    </w:rPr>
  </w:style>
  <w:style w:type="character" w:customStyle="1" w:styleId="90">
    <w:name w:val="标题 9 字符"/>
    <w:basedOn w:val="a0"/>
    <w:link w:val="9"/>
    <w:uiPriority w:val="9"/>
    <w:semiHidden/>
    <w:rsid w:val="00A2638A"/>
    <w:rPr>
      <w:rFonts w:eastAsiaTheme="majorEastAsia" w:cstheme="majorBidi"/>
      <w:color w:val="595959" w:themeColor="text1" w:themeTint="A6"/>
    </w:rPr>
  </w:style>
  <w:style w:type="paragraph" w:styleId="a6">
    <w:name w:val="Title"/>
    <w:basedOn w:val="a"/>
    <w:next w:val="a"/>
    <w:link w:val="a7"/>
    <w:uiPriority w:val="10"/>
    <w:qFormat/>
    <w:rsid w:val="00A2638A"/>
    <w:pPr>
      <w:spacing w:after="80"/>
      <w:contextualSpacing/>
      <w:jc w:val="center"/>
    </w:pPr>
    <w:rPr>
      <w:rFonts w:asciiTheme="majorHAnsi" w:eastAsiaTheme="majorEastAsia" w:hAnsiTheme="majorHAnsi" w:cstheme="majorBidi"/>
      <w:spacing w:val="-10"/>
      <w:kern w:val="28"/>
      <w:sz w:val="56"/>
      <w:szCs w:val="56"/>
    </w:rPr>
  </w:style>
  <w:style w:type="character" w:customStyle="1" w:styleId="a7">
    <w:name w:val="标题 字符"/>
    <w:basedOn w:val="a0"/>
    <w:link w:val="a6"/>
    <w:uiPriority w:val="10"/>
    <w:rsid w:val="00A2638A"/>
    <w:rPr>
      <w:rFonts w:asciiTheme="majorHAnsi" w:eastAsiaTheme="majorEastAsia" w:hAnsiTheme="majorHAnsi" w:cstheme="majorBidi"/>
      <w:spacing w:val="-10"/>
      <w:kern w:val="28"/>
      <w:sz w:val="56"/>
      <w:szCs w:val="56"/>
    </w:rPr>
  </w:style>
  <w:style w:type="paragraph" w:styleId="a8">
    <w:name w:val="Subtitle"/>
    <w:basedOn w:val="a"/>
    <w:next w:val="a"/>
    <w:link w:val="a9"/>
    <w:uiPriority w:val="11"/>
    <w:qFormat/>
    <w:rsid w:val="00A2638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9">
    <w:name w:val="副标题 字符"/>
    <w:basedOn w:val="a0"/>
    <w:link w:val="a8"/>
    <w:uiPriority w:val="11"/>
    <w:rsid w:val="00A2638A"/>
    <w:rPr>
      <w:rFonts w:asciiTheme="majorHAnsi" w:eastAsiaTheme="majorEastAsia" w:hAnsiTheme="majorHAnsi" w:cstheme="majorBidi"/>
      <w:color w:val="595959" w:themeColor="text1" w:themeTint="A6"/>
      <w:spacing w:val="15"/>
      <w:sz w:val="28"/>
      <w:szCs w:val="28"/>
    </w:rPr>
  </w:style>
  <w:style w:type="paragraph" w:styleId="aa">
    <w:name w:val="Quote"/>
    <w:basedOn w:val="a"/>
    <w:next w:val="a"/>
    <w:link w:val="ab"/>
    <w:uiPriority w:val="29"/>
    <w:qFormat/>
    <w:rsid w:val="00A2638A"/>
    <w:pPr>
      <w:spacing w:before="160"/>
      <w:jc w:val="center"/>
    </w:pPr>
    <w:rPr>
      <w:i/>
      <w:iCs/>
      <w:color w:val="404040" w:themeColor="text1" w:themeTint="BF"/>
    </w:rPr>
  </w:style>
  <w:style w:type="character" w:customStyle="1" w:styleId="ab">
    <w:name w:val="引用 字符"/>
    <w:basedOn w:val="a0"/>
    <w:link w:val="aa"/>
    <w:uiPriority w:val="29"/>
    <w:rsid w:val="00A2638A"/>
    <w:rPr>
      <w:i/>
      <w:iCs/>
      <w:color w:val="404040" w:themeColor="text1" w:themeTint="BF"/>
    </w:rPr>
  </w:style>
  <w:style w:type="paragraph" w:styleId="ac">
    <w:name w:val="List Paragraph"/>
    <w:basedOn w:val="a"/>
    <w:uiPriority w:val="34"/>
    <w:qFormat/>
    <w:rsid w:val="00A2638A"/>
    <w:pPr>
      <w:ind w:left="720"/>
      <w:contextualSpacing/>
    </w:pPr>
  </w:style>
  <w:style w:type="character" w:styleId="ad">
    <w:name w:val="Intense Emphasis"/>
    <w:basedOn w:val="a0"/>
    <w:uiPriority w:val="21"/>
    <w:qFormat/>
    <w:rsid w:val="00A2638A"/>
    <w:rPr>
      <w:i/>
      <w:iCs/>
      <w:color w:val="0F4761" w:themeColor="accent1" w:themeShade="BF"/>
    </w:rPr>
  </w:style>
  <w:style w:type="paragraph" w:styleId="ae">
    <w:name w:val="Intense Quote"/>
    <w:basedOn w:val="a"/>
    <w:next w:val="a"/>
    <w:link w:val="af"/>
    <w:uiPriority w:val="30"/>
    <w:qFormat/>
    <w:rsid w:val="00A263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0"/>
    <w:link w:val="ae"/>
    <w:uiPriority w:val="30"/>
    <w:rsid w:val="00A2638A"/>
    <w:rPr>
      <w:i/>
      <w:iCs/>
      <w:color w:val="0F4761" w:themeColor="accent1" w:themeShade="BF"/>
    </w:rPr>
  </w:style>
  <w:style w:type="character" w:styleId="af0">
    <w:name w:val="Intense Reference"/>
    <w:basedOn w:val="a0"/>
    <w:uiPriority w:val="32"/>
    <w:qFormat/>
    <w:rsid w:val="00A2638A"/>
    <w:rPr>
      <w:b/>
      <w:bCs/>
      <w:smallCaps/>
      <w:color w:val="0F4761" w:themeColor="accent1" w:themeShade="BF"/>
      <w:spacing w:val="5"/>
    </w:rPr>
  </w:style>
  <w:style w:type="paragraph" w:styleId="af1">
    <w:name w:val="header"/>
    <w:basedOn w:val="a"/>
    <w:link w:val="af2"/>
    <w:uiPriority w:val="99"/>
    <w:unhideWhenUsed/>
    <w:rsid w:val="003A24D7"/>
    <w:pPr>
      <w:tabs>
        <w:tab w:val="center" w:pos="4153"/>
        <w:tab w:val="right" w:pos="8306"/>
      </w:tabs>
      <w:snapToGrid w:val="0"/>
      <w:jc w:val="center"/>
    </w:pPr>
    <w:rPr>
      <w:sz w:val="18"/>
      <w:szCs w:val="18"/>
    </w:rPr>
  </w:style>
  <w:style w:type="character" w:customStyle="1" w:styleId="af2">
    <w:name w:val="页眉 字符"/>
    <w:basedOn w:val="a0"/>
    <w:link w:val="af1"/>
    <w:uiPriority w:val="99"/>
    <w:rsid w:val="003A24D7"/>
    <w:rPr>
      <w:sz w:val="18"/>
      <w:szCs w:val="18"/>
      <w14:ligatures w14:val="none"/>
    </w:rPr>
  </w:style>
  <w:style w:type="paragraph" w:styleId="af3">
    <w:name w:val="footer"/>
    <w:basedOn w:val="a"/>
    <w:link w:val="af4"/>
    <w:uiPriority w:val="99"/>
    <w:unhideWhenUsed/>
    <w:rsid w:val="003A24D7"/>
    <w:pPr>
      <w:tabs>
        <w:tab w:val="center" w:pos="4153"/>
        <w:tab w:val="right" w:pos="8306"/>
      </w:tabs>
      <w:snapToGrid w:val="0"/>
      <w:jc w:val="left"/>
    </w:pPr>
    <w:rPr>
      <w:sz w:val="18"/>
      <w:szCs w:val="18"/>
    </w:rPr>
  </w:style>
  <w:style w:type="character" w:customStyle="1" w:styleId="af4">
    <w:name w:val="页脚 字符"/>
    <w:basedOn w:val="a0"/>
    <w:link w:val="af3"/>
    <w:uiPriority w:val="99"/>
    <w:rsid w:val="003A24D7"/>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978475">
      <w:bodyDiv w:val="1"/>
      <w:marLeft w:val="0"/>
      <w:marRight w:val="0"/>
      <w:marTop w:val="0"/>
      <w:marBottom w:val="0"/>
      <w:divBdr>
        <w:top w:val="none" w:sz="0" w:space="0" w:color="auto"/>
        <w:left w:val="none" w:sz="0" w:space="0" w:color="auto"/>
        <w:bottom w:val="none" w:sz="0" w:space="0" w:color="auto"/>
        <w:right w:val="none" w:sz="0" w:space="0" w:color="auto"/>
      </w:divBdr>
    </w:div>
    <w:div w:id="46219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337</Words>
  <Characters>1923</Characters>
  <Application>Microsoft Office Word</Application>
  <DocSecurity>0</DocSecurity>
  <Lines>16</Lines>
  <Paragraphs>4</Paragraphs>
  <ScaleCrop>false</ScaleCrop>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 White</dc:creator>
  <cp:keywords/>
  <dc:description/>
  <cp:lastModifiedBy>Reed Lei</cp:lastModifiedBy>
  <cp:revision>2</cp:revision>
  <dcterms:created xsi:type="dcterms:W3CDTF">2025-12-27T08:06:00Z</dcterms:created>
  <dcterms:modified xsi:type="dcterms:W3CDTF">2025-12-29T02:39:00Z</dcterms:modified>
</cp:coreProperties>
</file>